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ind w:right="-51"/>
        <w:jc w:val="center"/>
        <w:rPr>
          <w:b w:val="1"/>
          <w:color w:val="c00000"/>
          <w:sz w:val="32"/>
          <w:szCs w:val="32"/>
        </w:rPr>
      </w:pPr>
      <w:r w:rsidDel="00000000" w:rsidR="00000000" w:rsidRPr="00000000">
        <w:rPr>
          <w:b w:val="1"/>
          <w:color w:val="c00000"/>
          <w:sz w:val="32"/>
          <w:szCs w:val="32"/>
          <w:rtl w:val="0"/>
        </w:rPr>
        <w:t xml:space="preserve">Organice un evento de “Hora del código” para estudiantes más jóvenes</w:t>
      </w:r>
    </w:p>
    <w:p w:rsidR="00000000" w:rsidDel="00000000" w:rsidP="00000000" w:rsidRDefault="00000000" w:rsidRPr="00000000" w14:paraId="00000002">
      <w:pPr>
        <w:spacing w:after="120" w:line="240" w:lineRule="auto"/>
        <w:ind w:right="-51"/>
        <w:rPr>
          <w:b w:val="1"/>
          <w:color w:val="4472c4"/>
        </w:rPr>
      </w:pPr>
      <w:r w:rsidDel="00000000" w:rsidR="00000000" w:rsidRPr="00000000">
        <w:rPr>
          <w:rtl w:val="0"/>
        </w:rPr>
      </w:r>
    </w:p>
    <w:p w:rsidR="00000000" w:rsidDel="00000000" w:rsidP="00000000" w:rsidRDefault="00000000" w:rsidRPr="00000000" w14:paraId="00000003">
      <w:pPr>
        <w:numPr>
          <w:ilvl w:val="0"/>
          <w:numId w:val="3"/>
        </w:numPr>
        <w:spacing w:after="120" w:line="240" w:lineRule="auto"/>
        <w:ind w:left="720" w:right="-51" w:hanging="360"/>
        <w:rPr>
          <w:b w:val="1"/>
          <w:color w:val="4472c4"/>
        </w:rPr>
      </w:pPr>
      <w:r w:rsidDel="00000000" w:rsidR="00000000" w:rsidRPr="00000000">
        <w:rPr>
          <w:b w:val="1"/>
          <w:color w:val="4472c4"/>
          <w:rtl w:val="0"/>
        </w:rPr>
        <w:t xml:space="preserve">Resultados de aprendizaje: </w:t>
      </w:r>
    </w:p>
    <w:p w:rsidR="00000000" w:rsidDel="00000000" w:rsidP="00000000" w:rsidRDefault="00000000" w:rsidRPr="00000000" w14:paraId="00000004">
      <w:pPr>
        <w:numPr>
          <w:ilvl w:val="1"/>
          <w:numId w:val="3"/>
        </w:numPr>
        <w:spacing w:after="120" w:line="240" w:lineRule="auto"/>
        <w:ind w:left="1440" w:right="-51" w:hanging="360"/>
        <w:rPr>
          <w:b w:val="1"/>
          <w:color w:val="4472c4"/>
        </w:rPr>
      </w:pPr>
      <w:r w:rsidDel="00000000" w:rsidR="00000000" w:rsidRPr="00000000">
        <w:rPr>
          <w:rtl w:val="0"/>
        </w:rPr>
        <w:t xml:space="preserve">Desarrolle habilidades de codificación. </w:t>
      </w:r>
      <w:r w:rsidDel="00000000" w:rsidR="00000000" w:rsidRPr="00000000">
        <w:rPr>
          <w:rtl w:val="0"/>
        </w:rPr>
      </w:r>
    </w:p>
    <w:p w:rsidR="00000000" w:rsidDel="00000000" w:rsidP="00000000" w:rsidRDefault="00000000" w:rsidRPr="00000000" w14:paraId="00000005">
      <w:pPr>
        <w:numPr>
          <w:ilvl w:val="1"/>
          <w:numId w:val="3"/>
        </w:numPr>
        <w:spacing w:after="120" w:line="240" w:lineRule="auto"/>
        <w:ind w:left="1440" w:right="-51" w:hanging="360"/>
        <w:rPr>
          <w:b w:val="1"/>
          <w:color w:val="4472c4"/>
        </w:rPr>
      </w:pPr>
      <w:r w:rsidDel="00000000" w:rsidR="00000000" w:rsidRPr="00000000">
        <w:rPr>
          <w:rtl w:val="0"/>
        </w:rPr>
        <w:t xml:space="preserve">Fomentar las habilidades de organización. </w:t>
      </w:r>
      <w:r w:rsidDel="00000000" w:rsidR="00000000" w:rsidRPr="00000000">
        <w:rPr>
          <w:rtl w:val="0"/>
        </w:rPr>
      </w:r>
    </w:p>
    <w:p w:rsidR="00000000" w:rsidDel="00000000" w:rsidP="00000000" w:rsidRDefault="00000000" w:rsidRPr="00000000" w14:paraId="00000006">
      <w:pPr>
        <w:numPr>
          <w:ilvl w:val="1"/>
          <w:numId w:val="3"/>
        </w:numPr>
        <w:spacing w:after="120" w:line="240" w:lineRule="auto"/>
        <w:ind w:left="1440" w:right="-51" w:hanging="360"/>
        <w:rPr>
          <w:b w:val="1"/>
          <w:color w:val="4472c4"/>
        </w:rPr>
      </w:pPr>
      <w:r w:rsidDel="00000000" w:rsidR="00000000" w:rsidRPr="00000000">
        <w:rPr>
          <w:rtl w:val="0"/>
        </w:rPr>
        <w:t xml:space="preserve">Fomentar la colaboración y el sentido de servicio a la comunidad.</w:t>
      </w:r>
      <w:r w:rsidDel="00000000" w:rsidR="00000000" w:rsidRPr="00000000">
        <w:rPr>
          <w:rtl w:val="0"/>
        </w:rPr>
      </w:r>
    </w:p>
    <w:p w:rsidR="00000000" w:rsidDel="00000000" w:rsidP="00000000" w:rsidRDefault="00000000" w:rsidRPr="00000000" w14:paraId="00000007">
      <w:pPr>
        <w:numPr>
          <w:ilvl w:val="0"/>
          <w:numId w:val="3"/>
        </w:numPr>
        <w:spacing w:after="120" w:line="240" w:lineRule="auto"/>
        <w:ind w:left="720" w:right="-51" w:hanging="360"/>
        <w:rPr>
          <w:b w:val="1"/>
          <w:color w:val="4472c4"/>
        </w:rPr>
      </w:pPr>
      <w:r w:rsidDel="00000000" w:rsidR="00000000" w:rsidRPr="00000000">
        <w:rPr>
          <w:b w:val="1"/>
          <w:color w:val="4472c4"/>
          <w:rtl w:val="0"/>
        </w:rPr>
        <w:t xml:space="preserve">Relación de actividad con el STEM, inclusión de género y emprendimiento: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after="120" w:line="240" w:lineRule="auto"/>
        <w:ind w:left="360" w:right="-51"/>
        <w:rPr>
          <w:b w:val="1"/>
          <w:color w:val="4472c4"/>
        </w:rPr>
      </w:pPr>
      <w:r w:rsidDel="00000000" w:rsidR="00000000" w:rsidRPr="00000000">
        <w:rPr>
          <w:rtl w:val="0"/>
        </w:rPr>
        <w:t xml:space="preserve">La relación con el STEM es clara, ya que la programación de computadoras es una habilidad clave. En términos de inclusión de género, la actividad proporciona tiempo para la reflexión, alentando a los estudiantes a pensar en tutoriales de "Hora del código" que pueden adaptarse a diferentes intereses. El hecho de que los estudiantes deben realizar una actividad para los compañeros más jóvenes, incluida la promoción, organización y supervisión de sus eventos, muestra una clara relación con el emprendimiento (social). </w:t>
      </w:r>
      <w:r w:rsidDel="00000000" w:rsidR="00000000" w:rsidRPr="00000000">
        <w:rPr>
          <w:rtl w:val="0"/>
        </w:rPr>
      </w:r>
    </w:p>
    <w:p w:rsidR="00000000" w:rsidDel="00000000" w:rsidP="00000000" w:rsidRDefault="00000000" w:rsidRPr="00000000" w14:paraId="00000009">
      <w:pPr>
        <w:numPr>
          <w:ilvl w:val="0"/>
          <w:numId w:val="3"/>
        </w:numPr>
        <w:spacing w:after="120" w:line="240" w:lineRule="auto"/>
        <w:ind w:left="720" w:right="-51" w:hanging="360"/>
        <w:rPr>
          <w:b w:val="1"/>
          <w:color w:val="4472c4"/>
        </w:rPr>
      </w:pPr>
      <w:r w:rsidDel="00000000" w:rsidR="00000000" w:rsidRPr="00000000">
        <w:rPr>
          <w:rtl w:val="0"/>
        </w:rPr>
      </w:r>
    </w:p>
    <w:p w:rsidR="00000000" w:rsidDel="00000000" w:rsidP="00000000" w:rsidRDefault="00000000" w:rsidRPr="00000000" w14:paraId="0000000A">
      <w:pPr>
        <w:numPr>
          <w:ilvl w:val="0"/>
          <w:numId w:val="3"/>
        </w:numPr>
        <w:spacing w:after="120" w:line="240" w:lineRule="auto"/>
        <w:ind w:left="720" w:right="-51" w:hanging="360"/>
        <w:rPr>
          <w:b w:val="1"/>
          <w:color w:val="4472c4"/>
        </w:rPr>
      </w:pPr>
      <w:r w:rsidDel="00000000" w:rsidR="00000000" w:rsidRPr="00000000">
        <w:rPr>
          <w:b w:val="1"/>
          <w:color w:val="4472c4"/>
          <w:rtl w:val="0"/>
        </w:rPr>
        <w:t xml:space="preserve">Indique el área de enfoque:</w:t>
      </w:r>
    </w:p>
    <w:p w:rsidR="00000000" w:rsidDel="00000000" w:rsidP="00000000" w:rsidRDefault="00000000" w:rsidRPr="00000000" w14:paraId="0000000B">
      <w:pPr>
        <w:spacing w:after="120" w:line="240" w:lineRule="auto"/>
        <w:ind w:left="720" w:right="-51"/>
        <w:rPr>
          <w:b w:val="1"/>
          <w:color w:val="4472c4"/>
        </w:rPr>
      </w:pPr>
      <w:r w:rsidDel="00000000" w:rsidR="00000000" w:rsidRPr="00000000">
        <w:rPr>
          <w:b w:val="1"/>
          <w:color w:val="4472c4"/>
          <w:rtl w:val="0"/>
        </w:rPr>
        <w:t xml:space="preserve">☒ STEMInclusión de</w:t>
      </w:r>
    </w:p>
    <w:p w:rsidR="00000000" w:rsidDel="00000000" w:rsidP="00000000" w:rsidRDefault="00000000" w:rsidRPr="00000000" w14:paraId="0000000C">
      <w:pPr>
        <w:spacing w:after="120" w:line="240" w:lineRule="auto"/>
        <w:ind w:left="720" w:right="-51"/>
        <w:rPr>
          <w:b w:val="1"/>
          <w:color w:val="4472c4"/>
        </w:rPr>
      </w:pPr>
      <w:r w:rsidDel="00000000" w:rsidR="00000000" w:rsidRPr="00000000">
        <w:rPr>
          <w:b w:val="1"/>
          <w:color w:val="4472c4"/>
          <w:rtl w:val="0"/>
        </w:rPr>
        <w:t xml:space="preserve">☐género</w:t>
      </w:r>
    </w:p>
    <w:p w:rsidR="00000000" w:rsidDel="00000000" w:rsidP="00000000" w:rsidRDefault="00000000" w:rsidRPr="00000000" w14:paraId="0000000D">
      <w:pPr>
        <w:spacing w:after="120" w:line="240" w:lineRule="auto"/>
        <w:ind w:left="720" w:right="-51"/>
        <w:rPr>
          <w:b w:val="1"/>
          <w:color w:val="4472c4"/>
        </w:rPr>
      </w:pPr>
      <w:r w:rsidDel="00000000" w:rsidR="00000000" w:rsidRPr="00000000">
        <w:rPr>
          <w:b w:val="1"/>
          <w:color w:val="4472c4"/>
          <w:rtl w:val="0"/>
        </w:rPr>
        <w:t xml:space="preserve">☐emprendimiento</w:t>
      </w:r>
    </w:p>
    <w:p w:rsidR="00000000" w:rsidDel="00000000" w:rsidP="00000000" w:rsidRDefault="00000000" w:rsidRPr="00000000" w14:paraId="0000000E">
      <w:pPr>
        <w:numPr>
          <w:ilvl w:val="0"/>
          <w:numId w:val="3"/>
        </w:numPr>
        <w:spacing w:after="120" w:line="240" w:lineRule="auto"/>
        <w:ind w:left="720" w:right="-51" w:hanging="360"/>
        <w:rPr>
          <w:b w:val="1"/>
          <w:color w:val="4472c4"/>
        </w:rPr>
      </w:pPr>
      <w:r w:rsidDel="00000000" w:rsidR="00000000" w:rsidRPr="00000000">
        <w:rPr>
          <w:b w:val="1"/>
          <w:color w:val="4472c4"/>
          <w:rtl w:val="0"/>
        </w:rPr>
        <w:t xml:space="preserve">Materiales de: </w:t>
      </w:r>
    </w:p>
    <w:p w:rsidR="00000000" w:rsidDel="00000000" w:rsidP="00000000" w:rsidRDefault="00000000" w:rsidRPr="00000000" w14:paraId="0000000F">
      <w:pPr>
        <w:numPr>
          <w:ilvl w:val="0"/>
          <w:numId w:val="1"/>
        </w:numPr>
        <w:spacing w:after="120" w:line="240" w:lineRule="auto"/>
        <w:ind w:left="1080" w:right="-51" w:hanging="360"/>
        <w:rPr>
          <w:b w:val="1"/>
          <w:color w:val="4472c4"/>
        </w:rPr>
      </w:pPr>
      <w:r w:rsidDel="00000000" w:rsidR="00000000" w:rsidRPr="00000000">
        <w:rPr>
          <w:rtl w:val="0"/>
        </w:rPr>
        <w:t xml:space="preserve">Video “Cómo enseñar una hora de código”: https://www.youtube.com/watch?v=SrnvvWDm73k</w:t>
      </w:r>
      <w:r w:rsidDel="00000000" w:rsidR="00000000" w:rsidRPr="00000000">
        <w:rPr>
          <w:rtl w:val="0"/>
        </w:rPr>
      </w:r>
    </w:p>
    <w:p w:rsidR="00000000" w:rsidDel="00000000" w:rsidP="00000000" w:rsidRDefault="00000000" w:rsidRPr="00000000" w14:paraId="00000010">
      <w:pPr>
        <w:numPr>
          <w:ilvl w:val="0"/>
          <w:numId w:val="1"/>
        </w:numPr>
        <w:spacing w:after="120" w:line="240" w:lineRule="auto"/>
        <w:ind w:left="1080" w:right="-51" w:hanging="360"/>
        <w:rPr>
          <w:b w:val="1"/>
          <w:color w:val="4472c4"/>
        </w:rPr>
      </w:pPr>
      <w:r w:rsidDel="00000000" w:rsidR="00000000" w:rsidRPr="00000000">
        <w:rPr>
          <w:rtl w:val="0"/>
        </w:rPr>
        <w:t xml:space="preserve">Tutoriales disponibles: https: // hourofcode. com / es / es / learn</w:t>
      </w:r>
      <w:r w:rsidDel="00000000" w:rsidR="00000000" w:rsidRPr="00000000">
        <w:rPr>
          <w:rtl w:val="0"/>
        </w:rPr>
      </w:r>
    </w:p>
    <w:p w:rsidR="00000000" w:rsidDel="00000000" w:rsidP="00000000" w:rsidRDefault="00000000" w:rsidRPr="00000000" w14:paraId="00000011">
      <w:pPr>
        <w:numPr>
          <w:ilvl w:val="0"/>
          <w:numId w:val="1"/>
        </w:numPr>
        <w:spacing w:after="120" w:line="240" w:lineRule="auto"/>
        <w:ind w:left="1080" w:right="-51" w:hanging="360"/>
        <w:rPr>
          <w:b w:val="1"/>
          <w:color w:val="4472c4"/>
        </w:rPr>
      </w:pPr>
      <w:r w:rsidDel="00000000" w:rsidR="00000000" w:rsidRPr="00000000">
        <w:rPr>
          <w:rtl w:val="0"/>
        </w:rPr>
        <w:t xml:space="preserve">Consejos y recursos para promover el evento: https://hourofcode.com/es/en/promote/resources</w:t>
      </w:r>
      <w:r w:rsidDel="00000000" w:rsidR="00000000" w:rsidRPr="00000000">
        <w:rPr>
          <w:rtl w:val="0"/>
        </w:rPr>
      </w:r>
    </w:p>
    <w:p w:rsidR="00000000" w:rsidDel="00000000" w:rsidP="00000000" w:rsidRDefault="00000000" w:rsidRPr="00000000" w14:paraId="00000012">
      <w:pPr>
        <w:numPr>
          <w:ilvl w:val="0"/>
          <w:numId w:val="1"/>
        </w:numPr>
        <w:spacing w:after="120" w:line="240" w:lineRule="auto"/>
        <w:ind w:left="1080" w:right="-51" w:hanging="360"/>
        <w:rPr>
          <w:b w:val="1"/>
          <w:color w:val="4472c4"/>
        </w:rPr>
      </w:pPr>
      <w:r w:rsidDel="00000000" w:rsidR="00000000" w:rsidRPr="00000000">
        <w:rPr>
          <w:rtl w:val="0"/>
        </w:rPr>
        <w:t xml:space="preserve">Celebración de los eventos mediante la impresión de certificados: https://code.org/certificates</w:t>
      </w:r>
      <w:r w:rsidDel="00000000" w:rsidR="00000000" w:rsidRPr="00000000">
        <w:rPr>
          <w:rtl w:val="0"/>
        </w:rPr>
      </w:r>
    </w:p>
    <w:p w:rsidR="00000000" w:rsidDel="00000000" w:rsidP="00000000" w:rsidRDefault="00000000" w:rsidRPr="00000000" w14:paraId="00000013">
      <w:pPr>
        <w:numPr>
          <w:ilvl w:val="0"/>
          <w:numId w:val="3"/>
        </w:numPr>
        <w:spacing w:after="120" w:line="240" w:lineRule="auto"/>
        <w:ind w:left="720" w:right="-51" w:hanging="360"/>
        <w:rPr>
          <w:b w:val="1"/>
          <w:color w:val="4472c4"/>
        </w:rPr>
      </w:pPr>
      <w:r w:rsidDel="00000000" w:rsidR="00000000" w:rsidRPr="00000000">
        <w:rPr>
          <w:b w:val="1"/>
          <w:color w:val="4472c4"/>
          <w:rtl w:val="0"/>
        </w:rPr>
        <w:t xml:space="preserve">Preparación:</w:t>
        <w:br w:type="textWrapping"/>
      </w:r>
      <w:r w:rsidDel="00000000" w:rsidR="00000000" w:rsidRPr="00000000">
        <w:rPr>
          <w:rtl w:val="0"/>
        </w:rPr>
        <w:t xml:space="preserve">Estudiantes previamente debe seguir un tutorial de "Hora de código" para sentirse cómodo con la interfaz y los tipos de tareas que se requieren durante los tutoriales para aprobarlos (50 ').</w:t>
      </w:r>
      <w:r w:rsidDel="00000000" w:rsidR="00000000" w:rsidRPr="00000000">
        <w:rPr>
          <w:rtl w:val="0"/>
        </w:rPr>
      </w:r>
    </w:p>
    <w:p w:rsidR="00000000" w:rsidDel="00000000" w:rsidP="00000000" w:rsidRDefault="00000000" w:rsidRPr="00000000" w14:paraId="00000014">
      <w:pPr>
        <w:numPr>
          <w:ilvl w:val="0"/>
          <w:numId w:val="2"/>
        </w:numPr>
        <w:spacing w:after="120" w:line="240" w:lineRule="auto"/>
        <w:ind w:left="360" w:right="-51"/>
        <w:rPr>
          <w:b w:val="1"/>
          <w:color w:val="4472c4"/>
        </w:rPr>
      </w:pPr>
      <w:r w:rsidDel="00000000" w:rsidR="00000000" w:rsidRPr="00000000">
        <w:rPr>
          <w:b w:val="1"/>
          <w:color w:val="4472c4"/>
          <w:rtl w:val="0"/>
        </w:rPr>
        <w:t xml:space="preserve">Duración: </w:t>
      </w:r>
      <w:r w:rsidDel="00000000" w:rsidR="00000000" w:rsidRPr="00000000">
        <w:rPr>
          <w:rtl w:val="0"/>
        </w:rPr>
        <w:t xml:space="preserve">85 minutos</w:t>
      </w:r>
      <w:r w:rsidDel="00000000" w:rsidR="00000000" w:rsidRPr="00000000">
        <w:rPr>
          <w:rtl w:val="0"/>
        </w:rPr>
      </w:r>
    </w:p>
    <w:p w:rsidR="00000000" w:rsidDel="00000000" w:rsidP="00000000" w:rsidRDefault="00000000" w:rsidRPr="00000000" w14:paraId="00000015">
      <w:pPr>
        <w:numPr>
          <w:ilvl w:val="0"/>
          <w:numId w:val="3"/>
        </w:numPr>
        <w:spacing w:after="120" w:line="240" w:lineRule="auto"/>
        <w:ind w:left="720" w:right="-51" w:hanging="360"/>
        <w:rPr>
          <w:b w:val="1"/>
          <w:color w:val="4472c4"/>
        </w:rPr>
      </w:pPr>
      <w:r w:rsidDel="00000000" w:rsidR="00000000" w:rsidRPr="00000000">
        <w:rPr>
          <w:b w:val="1"/>
          <w:color w:val="4472c4"/>
          <w:rtl w:val="0"/>
        </w:rPr>
        <w:t xml:space="preserve">Grupo objetivo: </w:t>
      </w:r>
      <w:r w:rsidDel="00000000" w:rsidR="00000000" w:rsidRPr="00000000">
        <w:rPr>
          <w:rtl w:val="0"/>
        </w:rPr>
        <w:t xml:space="preserve">12-15 años</w:t>
      </w:r>
      <w:r w:rsidDel="00000000" w:rsidR="00000000" w:rsidRPr="00000000">
        <w:rPr>
          <w:rtl w:val="0"/>
        </w:rPr>
      </w:r>
    </w:p>
    <w:p w:rsidR="00000000" w:rsidDel="00000000" w:rsidP="00000000" w:rsidRDefault="00000000" w:rsidRPr="00000000" w14:paraId="00000016">
      <w:pPr>
        <w:spacing w:after="120" w:line="240" w:lineRule="auto"/>
        <w:ind w:right="-51"/>
        <w:rPr>
          <w:b w:val="1"/>
          <w:color w:val="c00000"/>
        </w:rPr>
      </w:pPr>
      <w:r w:rsidDel="00000000" w:rsidR="00000000" w:rsidRPr="00000000">
        <w:rPr>
          <w:b w:val="1"/>
          <w:color w:val="c00000"/>
          <w:rtl w:val="0"/>
        </w:rPr>
        <w:t xml:space="preserve">__________________________________________________________________________</w:t>
      </w:r>
    </w:p>
    <w:p w:rsidR="00000000" w:rsidDel="00000000" w:rsidP="00000000" w:rsidRDefault="00000000" w:rsidRPr="00000000" w14:paraId="00000017">
      <w:pPr>
        <w:spacing w:after="120" w:line="240" w:lineRule="auto"/>
        <w:ind w:right="-51"/>
        <w:rPr>
          <w:b w:val="1"/>
          <w:color w:val="4472c4"/>
          <w:sz w:val="2"/>
          <w:szCs w:val="2"/>
        </w:rPr>
      </w:pPr>
      <w:r w:rsidDel="00000000" w:rsidR="00000000" w:rsidRPr="00000000">
        <w:rPr>
          <w:rtl w:val="0"/>
        </w:rPr>
      </w:r>
    </w:p>
    <w:p w:rsidR="00000000" w:rsidDel="00000000" w:rsidP="00000000" w:rsidRDefault="00000000" w:rsidRPr="00000000" w14:paraId="00000018">
      <w:pPr>
        <w:numPr>
          <w:ilvl w:val="0"/>
          <w:numId w:val="3"/>
        </w:numPr>
        <w:spacing w:after="120" w:line="240" w:lineRule="auto"/>
        <w:ind w:left="720" w:right="-51" w:hanging="360"/>
        <w:rPr>
          <w:b w:val="1"/>
          <w:color w:val="4472c4"/>
        </w:rPr>
      </w:pPr>
      <w:r w:rsidDel="00000000" w:rsidR="00000000" w:rsidRPr="00000000">
        <w:rPr>
          <w:b w:val="1"/>
          <w:color w:val="4472c4"/>
          <w:rtl w:val="0"/>
        </w:rPr>
        <w:t xml:space="preserve">Descripción de la actividad: </w:t>
      </w:r>
    </w:p>
    <w:p w:rsidR="00000000" w:rsidDel="00000000" w:rsidP="00000000" w:rsidRDefault="00000000" w:rsidRPr="00000000" w14:paraId="00000019">
      <w:pPr>
        <w:spacing w:after="120" w:line="240" w:lineRule="auto"/>
        <w:ind w:left="720" w:right="-51"/>
        <w:rPr/>
      </w:pPr>
      <w:r w:rsidDel="00000000" w:rsidR="00000000" w:rsidRPr="00000000">
        <w:rPr>
          <w:rtl w:val="0"/>
        </w:rPr>
        <w:t xml:space="preserve">El profesor explica la actividad y los alumnos se dividen en grupos de 4 personas (5 '). A los grupos se les asignan clases más jóvenes y eligen tutoriales apropiados para esas edades, teniendo en cuenta que los diferentes estudiantes pueden tener diferentes intereses y antecedentes (10 '). Los grupos preparan materiales promocionales utilizando los recursos de Code.org (20 '). Finalmente, cada grupo realiza una actividad de Hora del Código con un grupo más joven de compañeros de escuela (50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